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3794"/>
        <w:gridCol w:w="992"/>
        <w:gridCol w:w="11057"/>
      </w:tblGrid>
      <w:tr w:rsidR="004F461F" w:rsidTr="007D48BC">
        <w:tc>
          <w:tcPr>
            <w:tcW w:w="3794" w:type="dxa"/>
          </w:tcPr>
          <w:p w:rsidR="004F461F" w:rsidRPr="00591BDD" w:rsidRDefault="004F461F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Expenditure</w:t>
            </w:r>
          </w:p>
        </w:tc>
        <w:tc>
          <w:tcPr>
            <w:tcW w:w="992" w:type="dxa"/>
          </w:tcPr>
          <w:p w:rsidR="004F461F" w:rsidRPr="00591BDD" w:rsidRDefault="004F461F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Amount</w:t>
            </w:r>
          </w:p>
        </w:tc>
        <w:tc>
          <w:tcPr>
            <w:tcW w:w="11057" w:type="dxa"/>
          </w:tcPr>
          <w:p w:rsidR="004F461F" w:rsidRPr="00591BDD" w:rsidRDefault="004F461F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Purpose / Sustainability</w:t>
            </w:r>
          </w:p>
        </w:tc>
      </w:tr>
      <w:tr w:rsidR="004F461F" w:rsidTr="007D48BC">
        <w:tc>
          <w:tcPr>
            <w:tcW w:w="3794" w:type="dxa"/>
          </w:tcPr>
          <w:p w:rsidR="004F461F" w:rsidRPr="00591BDD" w:rsidRDefault="004F461F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School Sport Partnership – Standard Membership</w:t>
            </w:r>
          </w:p>
        </w:tc>
        <w:tc>
          <w:tcPr>
            <w:tcW w:w="992" w:type="dxa"/>
          </w:tcPr>
          <w:p w:rsidR="004F461F" w:rsidRPr="00591BDD" w:rsidRDefault="004F461F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£2,500</w:t>
            </w:r>
          </w:p>
        </w:tc>
        <w:tc>
          <w:tcPr>
            <w:tcW w:w="11057" w:type="dxa"/>
          </w:tcPr>
          <w:p w:rsidR="004F461F" w:rsidRPr="00591BDD" w:rsidRDefault="004F461F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Subscription to the School Sport Partnership which allows the school to work closely and effectively with neighbouring schools together to maximise opportunities and expertise. This subscription allows:</w:t>
            </w:r>
          </w:p>
          <w:p w:rsidR="004F461F" w:rsidRPr="00591BDD" w:rsidRDefault="004F461F" w:rsidP="004F461F">
            <w:pPr>
              <w:pStyle w:val="NoSpacing"/>
              <w:numPr>
                <w:ilvl w:val="0"/>
                <w:numId w:val="3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 xml:space="preserve">All children in Key Stages 1 and 2 attended a Sports Festival throughout the year. </w:t>
            </w:r>
          </w:p>
          <w:p w:rsidR="004F461F" w:rsidRPr="00591BDD" w:rsidRDefault="004F461F" w:rsidP="004F461F">
            <w:pPr>
              <w:pStyle w:val="NoSpacing"/>
              <w:numPr>
                <w:ilvl w:val="0"/>
                <w:numId w:val="3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3 half days of bespoke specialist training to all teaching staff. The three areas were identified by a staff skills audit.</w:t>
            </w:r>
          </w:p>
          <w:p w:rsidR="004F461F" w:rsidRPr="00591BDD" w:rsidRDefault="004F461F" w:rsidP="004F461F">
            <w:pPr>
              <w:pStyle w:val="NoSpacing"/>
              <w:numPr>
                <w:ilvl w:val="2"/>
                <w:numId w:val="3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Dance (4</w:t>
            </w:r>
            <w:r w:rsidRPr="00591BDD">
              <w:rPr>
                <w:rFonts w:ascii="Gisha" w:hAnsi="Gisha" w:cs="Gisha"/>
                <w:sz w:val="20"/>
                <w:szCs w:val="20"/>
                <w:vertAlign w:val="superscript"/>
              </w:rPr>
              <w:t>th</w:t>
            </w:r>
            <w:r w:rsidRPr="00591BDD">
              <w:rPr>
                <w:rFonts w:ascii="Gisha" w:hAnsi="Gisha" w:cs="Gisha"/>
                <w:sz w:val="20"/>
                <w:szCs w:val="20"/>
              </w:rPr>
              <w:t xml:space="preserve"> November)</w:t>
            </w:r>
          </w:p>
          <w:p w:rsidR="004F461F" w:rsidRPr="00591BDD" w:rsidRDefault="004F461F" w:rsidP="004F461F">
            <w:pPr>
              <w:pStyle w:val="NoSpacing"/>
              <w:numPr>
                <w:ilvl w:val="2"/>
                <w:numId w:val="3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OAA (17</w:t>
            </w:r>
            <w:r w:rsidRPr="00591BDD">
              <w:rPr>
                <w:rFonts w:ascii="Gisha" w:hAnsi="Gisha" w:cs="Gisha"/>
                <w:sz w:val="20"/>
                <w:szCs w:val="20"/>
                <w:vertAlign w:val="superscript"/>
              </w:rPr>
              <w:t>th</w:t>
            </w:r>
            <w:r w:rsidRPr="00591BDD">
              <w:rPr>
                <w:rFonts w:ascii="Gisha" w:hAnsi="Gisha" w:cs="Gisha"/>
                <w:sz w:val="20"/>
                <w:szCs w:val="20"/>
              </w:rPr>
              <w:t xml:space="preserve"> March)</w:t>
            </w:r>
          </w:p>
          <w:p w:rsidR="004F461F" w:rsidRPr="00591BDD" w:rsidRDefault="004F461F" w:rsidP="004F461F">
            <w:pPr>
              <w:pStyle w:val="NoSpacing"/>
              <w:numPr>
                <w:ilvl w:val="2"/>
                <w:numId w:val="3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Swimming (19</w:t>
            </w:r>
            <w:r w:rsidRPr="00591BDD">
              <w:rPr>
                <w:rFonts w:ascii="Gisha" w:hAnsi="Gisha" w:cs="Gisha"/>
                <w:sz w:val="20"/>
                <w:szCs w:val="20"/>
                <w:vertAlign w:val="superscript"/>
              </w:rPr>
              <w:t>th</w:t>
            </w:r>
            <w:r w:rsidRPr="00591BDD">
              <w:rPr>
                <w:rFonts w:ascii="Gisha" w:hAnsi="Gisha" w:cs="Gisha"/>
                <w:sz w:val="20"/>
                <w:szCs w:val="20"/>
              </w:rPr>
              <w:t xml:space="preserve"> May)</w:t>
            </w:r>
          </w:p>
          <w:p w:rsidR="004F461F" w:rsidRPr="00591BDD" w:rsidRDefault="004F461F" w:rsidP="004F461F">
            <w:pPr>
              <w:pStyle w:val="NoSpacing"/>
              <w:numPr>
                <w:ilvl w:val="0"/>
                <w:numId w:val="3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Gymnastics extra-curricular club by a Gymnastics specialist coach (for 20 Year 2 children)</w:t>
            </w:r>
          </w:p>
          <w:p w:rsidR="004F461F" w:rsidRPr="00591BDD" w:rsidRDefault="004F461F" w:rsidP="004F461F">
            <w:pPr>
              <w:pStyle w:val="NoSpacing"/>
              <w:numPr>
                <w:ilvl w:val="0"/>
                <w:numId w:val="3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Level 1 Bikeability training (for 12 Year 4 children)</w:t>
            </w:r>
          </w:p>
          <w:p w:rsidR="004F461F" w:rsidRPr="00591BDD" w:rsidRDefault="004F461F" w:rsidP="004F461F">
            <w:pPr>
              <w:pStyle w:val="NoSpacing"/>
              <w:numPr>
                <w:ilvl w:val="0"/>
                <w:numId w:val="3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Level 1 competitions</w:t>
            </w:r>
          </w:p>
          <w:p w:rsidR="004F461F" w:rsidRPr="00591BDD" w:rsidRDefault="004F461F" w:rsidP="004F461F">
            <w:pPr>
              <w:pStyle w:val="NoSpacing"/>
              <w:numPr>
                <w:ilvl w:val="2"/>
                <w:numId w:val="3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Kickball (for 58 Year 2 children)</w:t>
            </w:r>
          </w:p>
          <w:p w:rsidR="004F461F" w:rsidRPr="00591BDD" w:rsidRDefault="004F461F" w:rsidP="004F461F">
            <w:pPr>
              <w:pStyle w:val="NoSpacing"/>
              <w:numPr>
                <w:ilvl w:val="2"/>
                <w:numId w:val="3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OAA (for 120 KS2 children)</w:t>
            </w:r>
          </w:p>
          <w:p w:rsidR="004F461F" w:rsidRPr="00591BDD" w:rsidRDefault="004F461F" w:rsidP="004F461F">
            <w:pPr>
              <w:pStyle w:val="NoSpacing"/>
              <w:numPr>
                <w:ilvl w:val="0"/>
                <w:numId w:val="3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Individually targeted training for staff (EYFS spec</w:t>
            </w:r>
            <w:r w:rsidR="003129B7">
              <w:rPr>
                <w:rFonts w:ascii="Gisha" w:hAnsi="Gisha" w:cs="Gisha"/>
                <w:sz w:val="20"/>
                <w:szCs w:val="20"/>
              </w:rPr>
              <w:t>ialism training for EYs Teacher</w:t>
            </w:r>
            <w:r w:rsidRPr="00591BDD">
              <w:rPr>
                <w:rFonts w:ascii="Gisha" w:hAnsi="Gisha" w:cs="Gisha"/>
                <w:sz w:val="20"/>
                <w:szCs w:val="20"/>
              </w:rPr>
              <w:t>, Gen</w:t>
            </w:r>
            <w:r w:rsidR="003129B7">
              <w:rPr>
                <w:rFonts w:ascii="Gisha" w:hAnsi="Gisha" w:cs="Gisha"/>
                <w:sz w:val="20"/>
                <w:szCs w:val="20"/>
              </w:rPr>
              <w:t>eral PE training for NQT</w:t>
            </w:r>
            <w:r w:rsidRPr="00591BDD">
              <w:rPr>
                <w:rFonts w:ascii="Gisha" w:hAnsi="Gisha" w:cs="Gisha"/>
                <w:sz w:val="20"/>
                <w:szCs w:val="20"/>
              </w:rPr>
              <w:t>)</w:t>
            </w:r>
          </w:p>
        </w:tc>
      </w:tr>
      <w:tr w:rsidR="004F461F" w:rsidTr="007D48BC">
        <w:tc>
          <w:tcPr>
            <w:tcW w:w="3794" w:type="dxa"/>
          </w:tcPr>
          <w:p w:rsidR="004F461F" w:rsidRPr="00591BDD" w:rsidRDefault="004F461F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New improved boiler for on</w:t>
            </w:r>
            <w:r w:rsidR="00591BDD" w:rsidRPr="00591BDD">
              <w:rPr>
                <w:rFonts w:ascii="Gisha" w:hAnsi="Gisha" w:cs="Gisha"/>
                <w:sz w:val="20"/>
                <w:szCs w:val="20"/>
              </w:rPr>
              <w:t>-</w:t>
            </w:r>
            <w:r w:rsidRPr="00591BDD">
              <w:rPr>
                <w:rFonts w:ascii="Gisha" w:hAnsi="Gisha" w:cs="Gisha"/>
                <w:sz w:val="20"/>
                <w:szCs w:val="20"/>
              </w:rPr>
              <w:t xml:space="preserve"> site swimming pool</w:t>
            </w:r>
          </w:p>
        </w:tc>
        <w:tc>
          <w:tcPr>
            <w:tcW w:w="992" w:type="dxa"/>
          </w:tcPr>
          <w:p w:rsidR="004F461F" w:rsidRPr="00591BDD" w:rsidRDefault="004F461F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£3,800</w:t>
            </w:r>
          </w:p>
        </w:tc>
        <w:tc>
          <w:tcPr>
            <w:tcW w:w="11057" w:type="dxa"/>
          </w:tcPr>
          <w:p w:rsidR="004F461F" w:rsidRPr="00591BDD" w:rsidRDefault="004F461F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Longevity and improved ability to heat school swimming pool to allow 280 children to swim in an onsite pool at least 3 times a week (Boiler model MB405).</w:t>
            </w:r>
          </w:p>
        </w:tc>
      </w:tr>
      <w:tr w:rsidR="004F461F" w:rsidTr="007D48BC">
        <w:tc>
          <w:tcPr>
            <w:tcW w:w="3794" w:type="dxa"/>
          </w:tcPr>
          <w:p w:rsidR="004F461F" w:rsidRPr="00591BDD" w:rsidRDefault="00591BDD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New Gymnastics mats</w:t>
            </w:r>
          </w:p>
        </w:tc>
        <w:tc>
          <w:tcPr>
            <w:tcW w:w="992" w:type="dxa"/>
          </w:tcPr>
          <w:p w:rsidR="004F461F" w:rsidRPr="00591BDD" w:rsidRDefault="00591BDD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£354.24</w:t>
            </w:r>
          </w:p>
        </w:tc>
        <w:tc>
          <w:tcPr>
            <w:tcW w:w="11057" w:type="dxa"/>
          </w:tcPr>
          <w:p w:rsidR="004F461F" w:rsidRPr="00591BDD" w:rsidRDefault="00591BDD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6 replacement large gymnastic safety mats to improve longevity of safe and improved PE Hall equipment.</w:t>
            </w:r>
          </w:p>
        </w:tc>
      </w:tr>
      <w:tr w:rsidR="004F461F" w:rsidTr="007D48BC">
        <w:tc>
          <w:tcPr>
            <w:tcW w:w="3794" w:type="dxa"/>
          </w:tcPr>
          <w:p w:rsidR="004F461F" w:rsidRPr="00591BDD" w:rsidRDefault="00591BDD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New Gymnastics benches</w:t>
            </w:r>
          </w:p>
        </w:tc>
        <w:tc>
          <w:tcPr>
            <w:tcW w:w="992" w:type="dxa"/>
          </w:tcPr>
          <w:p w:rsidR="004F461F" w:rsidRPr="00591BDD" w:rsidRDefault="00591BDD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£916.50</w:t>
            </w:r>
          </w:p>
        </w:tc>
        <w:tc>
          <w:tcPr>
            <w:tcW w:w="11057" w:type="dxa"/>
          </w:tcPr>
          <w:p w:rsidR="004F461F" w:rsidRPr="00591BDD" w:rsidRDefault="00591BDD" w:rsidP="00591BDD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6 replacement large gymnastic benches to improve longevity of safe and improved PE Hall equipment.</w:t>
            </w:r>
          </w:p>
        </w:tc>
      </w:tr>
      <w:tr w:rsidR="00591BDD" w:rsidTr="007D48BC">
        <w:tc>
          <w:tcPr>
            <w:tcW w:w="3794" w:type="dxa"/>
          </w:tcPr>
          <w:p w:rsidR="00591BDD" w:rsidRPr="00591BDD" w:rsidRDefault="00591BDD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New resource books</w:t>
            </w:r>
          </w:p>
        </w:tc>
        <w:tc>
          <w:tcPr>
            <w:tcW w:w="992" w:type="dxa"/>
          </w:tcPr>
          <w:p w:rsidR="00591BDD" w:rsidRPr="00591BDD" w:rsidRDefault="00591BDD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£77.12</w:t>
            </w:r>
          </w:p>
        </w:tc>
        <w:tc>
          <w:tcPr>
            <w:tcW w:w="11057" w:type="dxa"/>
          </w:tcPr>
          <w:p w:rsidR="00591BDD" w:rsidRPr="00591BDD" w:rsidRDefault="00591BDD" w:rsidP="00591BDD">
            <w:pPr>
              <w:pStyle w:val="NoSpacing"/>
              <w:numPr>
                <w:ilvl w:val="0"/>
                <w:numId w:val="4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PE Gymnastics Book - New ideas, and resources for Gymnastics (identified as target by Staff Skills Audit)</w:t>
            </w:r>
          </w:p>
          <w:p w:rsidR="00591BDD" w:rsidRPr="00591BDD" w:rsidRDefault="00591BDD" w:rsidP="00591BDD">
            <w:pPr>
              <w:pStyle w:val="NoSpacing"/>
              <w:numPr>
                <w:ilvl w:val="0"/>
                <w:numId w:val="4"/>
              </w:num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‘Safe Practice in PE and Sport’ Guidance Book - Up-to-date knowledge for safe practice and guidance for staff.</w:t>
            </w:r>
          </w:p>
        </w:tc>
      </w:tr>
      <w:tr w:rsidR="00591BDD" w:rsidTr="007D48BC">
        <w:tc>
          <w:tcPr>
            <w:tcW w:w="3794" w:type="dxa"/>
          </w:tcPr>
          <w:p w:rsidR="00591BDD" w:rsidRPr="00591BDD" w:rsidRDefault="00591BDD" w:rsidP="00591BDD">
            <w:p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Level 5 Certificate in Primary School Physical Education Specialism</w:t>
            </w:r>
          </w:p>
          <w:p w:rsidR="00591BDD" w:rsidRPr="008519DA" w:rsidRDefault="00591BDD" w:rsidP="00591BDD">
            <w:pPr>
              <w:rPr>
                <w:rFonts w:ascii="Gisha" w:hAnsi="Gisha" w:cs="Gisha"/>
                <w:sz w:val="10"/>
                <w:szCs w:val="20"/>
              </w:rPr>
            </w:pPr>
          </w:p>
          <w:p w:rsidR="00591BDD" w:rsidRPr="00591BDD" w:rsidRDefault="00591BDD" w:rsidP="00591BDD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Level 6 Award in Primary School Physical Education Subject Leadership</w:t>
            </w:r>
          </w:p>
          <w:p w:rsidR="00591BDD" w:rsidRPr="008519DA" w:rsidRDefault="00591BDD" w:rsidP="00591BDD">
            <w:pPr>
              <w:pStyle w:val="NoSpacing"/>
              <w:rPr>
                <w:rFonts w:ascii="Gisha" w:hAnsi="Gisha" w:cs="Gisha"/>
                <w:sz w:val="10"/>
                <w:szCs w:val="20"/>
              </w:rPr>
            </w:pPr>
          </w:p>
          <w:p w:rsidR="00591BDD" w:rsidRPr="00591BDD" w:rsidRDefault="00591BDD" w:rsidP="00591BDD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 xml:space="preserve"> Awarding Body - SportsLeadersUK</w:t>
            </w:r>
          </w:p>
        </w:tc>
        <w:tc>
          <w:tcPr>
            <w:tcW w:w="992" w:type="dxa"/>
          </w:tcPr>
          <w:p w:rsidR="00591BDD" w:rsidRPr="00591BDD" w:rsidRDefault="00591BDD" w:rsidP="004F461F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>£950</w:t>
            </w:r>
          </w:p>
        </w:tc>
        <w:tc>
          <w:tcPr>
            <w:tcW w:w="11057" w:type="dxa"/>
          </w:tcPr>
          <w:p w:rsidR="00591BDD" w:rsidRPr="00591BDD" w:rsidRDefault="00591BDD" w:rsidP="00591BDD">
            <w:pPr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 xml:space="preserve">Up-skilling of PE Coordinator to lead to improvements in Curriculum and Teaching of PE in School. </w:t>
            </w:r>
          </w:p>
          <w:p w:rsidR="00591BDD" w:rsidRPr="00591BDD" w:rsidRDefault="00591BDD" w:rsidP="003129B7">
            <w:pPr>
              <w:pStyle w:val="NoSpacing"/>
              <w:rPr>
                <w:rFonts w:ascii="Gisha" w:hAnsi="Gisha" w:cs="Gisha"/>
                <w:sz w:val="20"/>
                <w:szCs w:val="20"/>
              </w:rPr>
            </w:pPr>
            <w:r w:rsidRPr="00591BDD">
              <w:rPr>
                <w:rFonts w:ascii="Gisha" w:hAnsi="Gisha" w:cs="Gisha"/>
                <w:sz w:val="20"/>
                <w:szCs w:val="20"/>
              </w:rPr>
              <w:t xml:space="preserve">Development of skills to run and organise sports teams, in preparation for </w:t>
            </w:r>
            <w:r w:rsidR="003129B7">
              <w:rPr>
                <w:rFonts w:ascii="Gisha" w:hAnsi="Gisha" w:cs="Gisha"/>
                <w:sz w:val="20"/>
                <w:szCs w:val="20"/>
              </w:rPr>
              <w:t xml:space="preserve">increased curriculum </w:t>
            </w:r>
            <w:r w:rsidRPr="00591BDD">
              <w:rPr>
                <w:rFonts w:ascii="Gisha" w:hAnsi="Gisha" w:cs="Gisha"/>
                <w:sz w:val="20"/>
                <w:szCs w:val="20"/>
              </w:rPr>
              <w:t>expectation</w:t>
            </w:r>
            <w:r w:rsidR="003129B7">
              <w:rPr>
                <w:rFonts w:ascii="Gisha" w:hAnsi="Gisha" w:cs="Gisha"/>
                <w:sz w:val="20"/>
                <w:szCs w:val="20"/>
              </w:rPr>
              <w:t>s.</w:t>
            </w:r>
            <w:r w:rsidRPr="00591BDD">
              <w:rPr>
                <w:rFonts w:ascii="Gisha" w:hAnsi="Gisha" w:cs="Gisha"/>
                <w:sz w:val="20"/>
                <w:szCs w:val="20"/>
              </w:rPr>
              <w:t xml:space="preserve"> </w:t>
            </w:r>
          </w:p>
        </w:tc>
      </w:tr>
    </w:tbl>
    <w:p w:rsidR="004F461F" w:rsidRPr="008519DA" w:rsidRDefault="004F461F" w:rsidP="004F461F">
      <w:pPr>
        <w:pStyle w:val="NoSpacing"/>
        <w:rPr>
          <w:rFonts w:ascii="Gisha" w:hAnsi="Gisha" w:cs="Gisha"/>
          <w:sz w:val="16"/>
          <w:szCs w:val="24"/>
        </w:rPr>
      </w:pPr>
    </w:p>
    <w:p w:rsidR="004F461F" w:rsidRDefault="00591BDD" w:rsidP="004F461F">
      <w:pPr>
        <w:rPr>
          <w:rFonts w:ascii="Gisha" w:hAnsi="Gisha" w:cs="Gisha"/>
          <w:sz w:val="20"/>
        </w:rPr>
      </w:pPr>
      <w:r w:rsidRPr="00C32A5F">
        <w:rPr>
          <w:rFonts w:ascii="Gisha" w:hAnsi="Gisha" w:cs="Gisha"/>
          <w:sz w:val="20"/>
        </w:rPr>
        <w:t xml:space="preserve">In summary, approximately £8,600 has been spent in 2013-2014 academic year. </w:t>
      </w:r>
      <w:r w:rsidR="009E359D" w:rsidRPr="00C32A5F">
        <w:rPr>
          <w:rFonts w:ascii="Gisha" w:hAnsi="Gisha" w:cs="Gisha"/>
          <w:sz w:val="20"/>
        </w:rPr>
        <w:t xml:space="preserve">From the child’s perspective, </w:t>
      </w:r>
      <w:r w:rsidRPr="00C32A5F">
        <w:rPr>
          <w:rFonts w:ascii="Gisha" w:hAnsi="Gisha" w:cs="Gisha"/>
          <w:sz w:val="20"/>
        </w:rPr>
        <w:t xml:space="preserve">the school has new improved </w:t>
      </w:r>
      <w:r w:rsidR="009E359D" w:rsidRPr="00C32A5F">
        <w:rPr>
          <w:rFonts w:ascii="Gisha" w:hAnsi="Gisha" w:cs="Gisha"/>
          <w:sz w:val="20"/>
        </w:rPr>
        <w:t>equipment</w:t>
      </w:r>
      <w:r w:rsidRPr="00C32A5F">
        <w:rPr>
          <w:rFonts w:ascii="Gisha" w:hAnsi="Gisha" w:cs="Gisha"/>
          <w:sz w:val="20"/>
        </w:rPr>
        <w:t xml:space="preserve"> for the hall which is used every day</w:t>
      </w:r>
      <w:r w:rsidR="00FD5DD3">
        <w:rPr>
          <w:rFonts w:ascii="Gisha" w:hAnsi="Gisha" w:cs="Gisha"/>
          <w:sz w:val="20"/>
        </w:rPr>
        <w:t xml:space="preserve"> and is accessible for every child</w:t>
      </w:r>
      <w:r w:rsidRPr="00C32A5F">
        <w:rPr>
          <w:rFonts w:ascii="Gisha" w:hAnsi="Gisha" w:cs="Gisha"/>
          <w:sz w:val="20"/>
        </w:rPr>
        <w:t>. The purchase of the boiler for the swimming pool</w:t>
      </w:r>
      <w:r w:rsidR="009E359D" w:rsidRPr="00C32A5F">
        <w:rPr>
          <w:rFonts w:ascii="Gisha" w:hAnsi="Gisha" w:cs="Gisha"/>
          <w:sz w:val="20"/>
        </w:rPr>
        <w:t xml:space="preserve"> secures the pool for the coming years as it</w:t>
      </w:r>
      <w:r w:rsidRPr="00C32A5F">
        <w:rPr>
          <w:rFonts w:ascii="Gisha" w:hAnsi="Gisha" w:cs="Gisha"/>
          <w:sz w:val="20"/>
        </w:rPr>
        <w:t xml:space="preserve"> keeps running costs down, whilst improving consistency and ease to heat the pool, resulting in a </w:t>
      </w:r>
      <w:r w:rsidR="00FD5DD3">
        <w:rPr>
          <w:rFonts w:ascii="Gisha" w:hAnsi="Gisha" w:cs="Gisha"/>
          <w:sz w:val="20"/>
        </w:rPr>
        <w:t>reduced amount of</w:t>
      </w:r>
      <w:r w:rsidRPr="00C32A5F">
        <w:rPr>
          <w:rFonts w:ascii="Gisha" w:hAnsi="Gisha" w:cs="Gisha"/>
          <w:sz w:val="20"/>
        </w:rPr>
        <w:t xml:space="preserve"> cancelled swimming lessons (particularly in </w:t>
      </w:r>
      <w:r w:rsidR="00FD5DD3">
        <w:rPr>
          <w:rFonts w:ascii="Gisha" w:hAnsi="Gisha" w:cs="Gisha"/>
          <w:sz w:val="20"/>
        </w:rPr>
        <w:t xml:space="preserve">the early </w:t>
      </w:r>
      <w:r w:rsidRPr="00C32A5F">
        <w:rPr>
          <w:rFonts w:ascii="Gisha" w:hAnsi="Gisha" w:cs="Gisha"/>
          <w:sz w:val="20"/>
        </w:rPr>
        <w:t>morning sessions, which was a problem last year).</w:t>
      </w:r>
      <w:r w:rsidR="009E359D" w:rsidRPr="00C32A5F">
        <w:rPr>
          <w:rFonts w:ascii="Gisha" w:hAnsi="Gisha" w:cs="Gisha"/>
          <w:sz w:val="20"/>
        </w:rPr>
        <w:t xml:space="preserve"> </w:t>
      </w:r>
      <w:r w:rsidR="00C32A5F" w:rsidRPr="00C32A5F">
        <w:rPr>
          <w:rFonts w:ascii="Gisha" w:hAnsi="Gisha" w:cs="Gisha"/>
          <w:sz w:val="20"/>
        </w:rPr>
        <w:t xml:space="preserve">Swimming is the only area which is mandatory in the new PE Curriculum, and we as a </w:t>
      </w:r>
      <w:r w:rsidR="00FD5DD3">
        <w:rPr>
          <w:rFonts w:ascii="Gisha" w:hAnsi="Gisha" w:cs="Gisha"/>
          <w:sz w:val="20"/>
        </w:rPr>
        <w:t xml:space="preserve">school are ensuring that we </w:t>
      </w:r>
      <w:r w:rsidR="00C32A5F" w:rsidRPr="00C32A5F">
        <w:rPr>
          <w:rFonts w:ascii="Gisha" w:hAnsi="Gisha" w:cs="Gisha"/>
          <w:sz w:val="20"/>
        </w:rPr>
        <w:t>can provide the very best opportunities for early swimming teaching and learning</w:t>
      </w:r>
      <w:r w:rsidR="00C32A5F">
        <w:rPr>
          <w:rFonts w:ascii="Gisha" w:hAnsi="Gisha" w:cs="Gisha"/>
          <w:sz w:val="20"/>
        </w:rPr>
        <w:t xml:space="preserve"> for ALL children</w:t>
      </w:r>
      <w:r w:rsidR="00C32A5F" w:rsidRPr="00C32A5F">
        <w:rPr>
          <w:rFonts w:ascii="Gisha" w:hAnsi="Gisha" w:cs="Gisha"/>
          <w:sz w:val="20"/>
        </w:rPr>
        <w:t xml:space="preserve">. </w:t>
      </w:r>
      <w:r w:rsidR="009E359D" w:rsidRPr="00C32A5F">
        <w:rPr>
          <w:rFonts w:ascii="Gisha" w:hAnsi="Gisha" w:cs="Gisha"/>
          <w:sz w:val="20"/>
        </w:rPr>
        <w:t>The School Sport Partnership member</w:t>
      </w:r>
      <w:r w:rsidR="00C32A5F">
        <w:rPr>
          <w:rFonts w:ascii="Gisha" w:hAnsi="Gisha" w:cs="Gisha"/>
          <w:sz w:val="20"/>
        </w:rPr>
        <w:t>ship</w:t>
      </w:r>
      <w:r w:rsidR="009E359D" w:rsidRPr="00C32A5F">
        <w:rPr>
          <w:rFonts w:ascii="Gisha" w:hAnsi="Gisha" w:cs="Gisha"/>
          <w:sz w:val="20"/>
        </w:rPr>
        <w:t xml:space="preserve"> has wide benefits and impact on all KS1 and KS2 children (220 children).</w:t>
      </w:r>
      <w:r w:rsidR="00C32A5F" w:rsidRPr="00C32A5F">
        <w:rPr>
          <w:rFonts w:ascii="Gisha" w:hAnsi="Gisha" w:cs="Gisha"/>
          <w:sz w:val="20"/>
        </w:rPr>
        <w:t xml:space="preserve"> This membership helps meets Government emphasis on competition, both holding inter and intra-school competitions throughout the year</w:t>
      </w:r>
      <w:r w:rsidR="00FD5DD3">
        <w:rPr>
          <w:rFonts w:ascii="Gisha" w:hAnsi="Gisha" w:cs="Gisha"/>
          <w:sz w:val="20"/>
        </w:rPr>
        <w:t>, as well as providing wider opportunities for participation in sport and PE</w:t>
      </w:r>
      <w:r w:rsidR="00C32A5F" w:rsidRPr="00C32A5F">
        <w:rPr>
          <w:rFonts w:ascii="Gisha" w:hAnsi="Gisha" w:cs="Gisha"/>
          <w:sz w:val="20"/>
        </w:rPr>
        <w:t xml:space="preserve">. </w:t>
      </w:r>
      <w:r w:rsidR="009E359D" w:rsidRPr="00C32A5F">
        <w:rPr>
          <w:rFonts w:ascii="Gisha" w:hAnsi="Gisha" w:cs="Gisha"/>
          <w:sz w:val="20"/>
        </w:rPr>
        <w:t>From the teaching perspective, all teaching staff has received training for areas identified for improvement through a staff skills audit.</w:t>
      </w:r>
      <w:r w:rsidR="00C32A5F">
        <w:rPr>
          <w:rFonts w:ascii="Gisha" w:hAnsi="Gisha" w:cs="Gisha"/>
          <w:sz w:val="20"/>
        </w:rPr>
        <w:t xml:space="preserve"> This will have a positive effect on the </w:t>
      </w:r>
      <w:bookmarkStart w:id="0" w:name="_GoBack"/>
      <w:bookmarkEnd w:id="0"/>
      <w:r w:rsidR="003129B7">
        <w:rPr>
          <w:rFonts w:ascii="Gisha" w:hAnsi="Gisha" w:cs="Gisha"/>
          <w:sz w:val="20"/>
        </w:rPr>
        <w:t>teacher’s</w:t>
      </w:r>
      <w:r w:rsidR="00C32A5F">
        <w:rPr>
          <w:rFonts w:ascii="Gisha" w:hAnsi="Gisha" w:cs="Gisha"/>
          <w:sz w:val="20"/>
        </w:rPr>
        <w:t xml:space="preserve"> ability and confidence to teach the identified areas of the curriculum. </w:t>
      </w:r>
      <w:r w:rsidR="009E359D" w:rsidRPr="00C32A5F">
        <w:rPr>
          <w:rFonts w:ascii="Gisha" w:hAnsi="Gisha" w:cs="Gisha"/>
          <w:sz w:val="20"/>
        </w:rPr>
        <w:t>Finally</w:t>
      </w:r>
      <w:r w:rsidR="00FD5DD3">
        <w:rPr>
          <w:rFonts w:ascii="Gisha" w:hAnsi="Gisha" w:cs="Gisha"/>
          <w:sz w:val="20"/>
        </w:rPr>
        <w:t>,</w:t>
      </w:r>
      <w:r w:rsidR="009E359D" w:rsidRPr="00C32A5F">
        <w:rPr>
          <w:rFonts w:ascii="Gisha" w:hAnsi="Gisha" w:cs="Gisha"/>
          <w:sz w:val="20"/>
        </w:rPr>
        <w:t xml:space="preserve"> the up skilling of the PE Coordinator will have long term benefits as I look to change, update and improve the planning, schemes of work, assessment and teaching of PE and Sport at Ursula Taylor. </w:t>
      </w:r>
    </w:p>
    <w:p w:rsidR="007D48BC" w:rsidRPr="00C32A5F" w:rsidRDefault="007D48BC" w:rsidP="007D48BC">
      <w:pPr>
        <w:jc w:val="right"/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Mr Roderick (PE Coordinator)</w:t>
      </w:r>
    </w:p>
    <w:sectPr w:rsidR="007D48BC" w:rsidRPr="00C32A5F" w:rsidSect="00591BD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AE" w:rsidRDefault="00A04FAE" w:rsidP="004F461F">
      <w:pPr>
        <w:spacing w:after="0" w:line="240" w:lineRule="auto"/>
      </w:pPr>
      <w:r>
        <w:separator/>
      </w:r>
    </w:p>
  </w:endnote>
  <w:endnote w:type="continuationSeparator" w:id="0">
    <w:p w:rsidR="00A04FAE" w:rsidRDefault="00A04FAE" w:rsidP="004F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AE" w:rsidRDefault="00A04FAE" w:rsidP="004F461F">
      <w:pPr>
        <w:spacing w:after="0" w:line="240" w:lineRule="auto"/>
      </w:pPr>
      <w:r>
        <w:separator/>
      </w:r>
    </w:p>
  </w:footnote>
  <w:footnote w:type="continuationSeparator" w:id="0">
    <w:p w:rsidR="00A04FAE" w:rsidRDefault="00A04FAE" w:rsidP="004F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79"/>
      <w:gridCol w:w="3843"/>
    </w:tblGrid>
    <w:tr w:rsidR="004F461F" w:rsidTr="00C32A5F">
      <w:trPr>
        <w:trHeight w:val="70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4762146C530435B968433010379EB7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28" w:type="dxa"/>
            </w:tcPr>
            <w:p w:rsidR="004F461F" w:rsidRDefault="004F461F" w:rsidP="004F461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PE Premium Expenditure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9E49F641ACD4E5696D7BA611918AC7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276" w:type="dxa"/>
            </w:tcPr>
            <w:p w:rsidR="004F461F" w:rsidRDefault="004F461F" w:rsidP="004F461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2013 - 2014</w:t>
              </w:r>
            </w:p>
          </w:tc>
        </w:sdtContent>
      </w:sdt>
    </w:tr>
  </w:tbl>
  <w:p w:rsidR="004F461F" w:rsidRDefault="004F4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79F5"/>
    <w:multiLevelType w:val="hybridMultilevel"/>
    <w:tmpl w:val="F6B4F7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B0932"/>
    <w:multiLevelType w:val="hybridMultilevel"/>
    <w:tmpl w:val="E836DD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F0435"/>
    <w:multiLevelType w:val="hybridMultilevel"/>
    <w:tmpl w:val="825C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263A8"/>
    <w:multiLevelType w:val="hybridMultilevel"/>
    <w:tmpl w:val="E292936E"/>
    <w:lvl w:ilvl="0" w:tplc="080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1F"/>
    <w:rsid w:val="003129B7"/>
    <w:rsid w:val="003D4D91"/>
    <w:rsid w:val="004219C8"/>
    <w:rsid w:val="004F461F"/>
    <w:rsid w:val="00591BDD"/>
    <w:rsid w:val="007D48BC"/>
    <w:rsid w:val="008519DA"/>
    <w:rsid w:val="009E359D"/>
    <w:rsid w:val="00A04FAE"/>
    <w:rsid w:val="00C32A5F"/>
    <w:rsid w:val="00DA06E8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1F"/>
  </w:style>
  <w:style w:type="paragraph" w:styleId="Footer">
    <w:name w:val="footer"/>
    <w:basedOn w:val="Normal"/>
    <w:link w:val="FooterChar"/>
    <w:uiPriority w:val="99"/>
    <w:semiHidden/>
    <w:unhideWhenUsed/>
    <w:rsid w:val="004F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61F"/>
  </w:style>
  <w:style w:type="paragraph" w:styleId="BalloonText">
    <w:name w:val="Balloon Text"/>
    <w:basedOn w:val="Normal"/>
    <w:link w:val="BalloonTextChar"/>
    <w:uiPriority w:val="99"/>
    <w:semiHidden/>
    <w:unhideWhenUsed/>
    <w:rsid w:val="004F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61F"/>
    <w:pPr>
      <w:ind w:left="720"/>
      <w:contextualSpacing/>
    </w:pPr>
  </w:style>
  <w:style w:type="paragraph" w:styleId="NoSpacing">
    <w:name w:val="No Spacing"/>
    <w:uiPriority w:val="1"/>
    <w:qFormat/>
    <w:rsid w:val="004F461F"/>
    <w:pPr>
      <w:spacing w:after="0" w:line="240" w:lineRule="auto"/>
    </w:pPr>
  </w:style>
  <w:style w:type="table" w:styleId="TableGrid">
    <w:name w:val="Table Grid"/>
    <w:basedOn w:val="TableNormal"/>
    <w:uiPriority w:val="59"/>
    <w:rsid w:val="004F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5B8D0E64CA4985BBFCEFDF165F36CC">
    <w:name w:val="3A5B8D0E64CA4985BBFCEFDF165F36CC"/>
    <w:rsid w:val="00591BD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1F"/>
  </w:style>
  <w:style w:type="paragraph" w:styleId="Footer">
    <w:name w:val="footer"/>
    <w:basedOn w:val="Normal"/>
    <w:link w:val="FooterChar"/>
    <w:uiPriority w:val="99"/>
    <w:semiHidden/>
    <w:unhideWhenUsed/>
    <w:rsid w:val="004F4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61F"/>
  </w:style>
  <w:style w:type="paragraph" w:styleId="BalloonText">
    <w:name w:val="Balloon Text"/>
    <w:basedOn w:val="Normal"/>
    <w:link w:val="BalloonTextChar"/>
    <w:uiPriority w:val="99"/>
    <w:semiHidden/>
    <w:unhideWhenUsed/>
    <w:rsid w:val="004F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61F"/>
    <w:pPr>
      <w:ind w:left="720"/>
      <w:contextualSpacing/>
    </w:pPr>
  </w:style>
  <w:style w:type="paragraph" w:styleId="NoSpacing">
    <w:name w:val="No Spacing"/>
    <w:uiPriority w:val="1"/>
    <w:qFormat/>
    <w:rsid w:val="004F461F"/>
    <w:pPr>
      <w:spacing w:after="0" w:line="240" w:lineRule="auto"/>
    </w:pPr>
  </w:style>
  <w:style w:type="table" w:styleId="TableGrid">
    <w:name w:val="Table Grid"/>
    <w:basedOn w:val="TableNormal"/>
    <w:uiPriority w:val="59"/>
    <w:rsid w:val="004F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5B8D0E64CA4985BBFCEFDF165F36CC">
    <w:name w:val="3A5B8D0E64CA4985BBFCEFDF165F36CC"/>
    <w:rsid w:val="00591B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762146C530435B968433010379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74BD-20D3-403D-8FF9-2AAE531F534C}"/>
      </w:docPartPr>
      <w:docPartBody>
        <w:p w:rsidR="00BC118F" w:rsidRDefault="00B74BFE" w:rsidP="00B74BFE">
          <w:pPr>
            <w:pStyle w:val="A4762146C530435B968433010379EB7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9E49F641ACD4E5696D7BA611918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901A-A8B0-4F91-B9E8-671D98D69CBD}"/>
      </w:docPartPr>
      <w:docPartBody>
        <w:p w:rsidR="00BC118F" w:rsidRDefault="00B74BFE" w:rsidP="00B74BFE">
          <w:pPr>
            <w:pStyle w:val="89E49F641ACD4E5696D7BA611918AC7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4BFE"/>
    <w:rsid w:val="002A524F"/>
    <w:rsid w:val="00B74BFE"/>
    <w:rsid w:val="00B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62146C530435B968433010379EB74">
    <w:name w:val="A4762146C530435B968433010379EB74"/>
    <w:rsid w:val="00B74BFE"/>
  </w:style>
  <w:style w:type="paragraph" w:customStyle="1" w:styleId="89E49F641ACD4E5696D7BA611918AC7E">
    <w:name w:val="89E49F641ACD4E5696D7BA611918AC7E"/>
    <w:rsid w:val="00B74B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2013 - 2014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Premium Expenditure</vt:lpstr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Premium Expenditure</dc:title>
  <dc:creator>Roderick</dc:creator>
  <cp:lastModifiedBy>L Fraser</cp:lastModifiedBy>
  <cp:revision>3</cp:revision>
  <dcterms:created xsi:type="dcterms:W3CDTF">2015-01-27T11:06:00Z</dcterms:created>
  <dcterms:modified xsi:type="dcterms:W3CDTF">2015-01-27T11:11:00Z</dcterms:modified>
</cp:coreProperties>
</file>